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etween w:space="0" w:sz="0" w:val="nil"/>
        </w:pBdr>
        <w:spacing w:after="120" w:line="288" w:lineRule="auto"/>
        <w:ind w:left="709" w:firstLine="0"/>
        <w:jc w:val="both"/>
        <w:rPr>
          <w:rFonts w:ascii="Montserrat SemiBold" w:cs="Montserrat SemiBold" w:eastAsia="Montserrat SemiBold" w:hAnsi="Montserrat SemiBold"/>
          <w:b w:val="1"/>
          <w:color w:val="000000"/>
          <w:sz w:val="22"/>
          <w:szCs w:val="22"/>
        </w:rPr>
      </w:pPr>
      <w:r w:rsidDel="00000000" w:rsidR="00000000" w:rsidRPr="00000000">
        <w:rPr>
          <w:rFonts w:ascii="Montserrat SemiBold" w:cs="Montserrat SemiBold" w:eastAsia="Montserrat SemiBold" w:hAnsi="Montserrat SemiBold"/>
          <w:b w:val="1"/>
          <w:color w:val="000000"/>
          <w:sz w:val="22"/>
          <w:szCs w:val="22"/>
          <w:rtl w:val="0"/>
        </w:rPr>
        <w:t xml:space="preserve">Załącznik nr 1 do Regulaminu świadczenia usług drogą elektroniczną dotyczący usługi NapoleonCat dostępny pod adresem </w:t>
      </w:r>
      <w:hyperlink r:id="rId7">
        <w:r w:rsidDel="00000000" w:rsidR="00000000" w:rsidRPr="00000000">
          <w:rPr>
            <w:rFonts w:ascii="Montserrat SemiBold" w:cs="Montserrat SemiBold" w:eastAsia="Montserrat SemiBold" w:hAnsi="Montserrat SemiBold"/>
            <w:b w:val="1"/>
            <w:color w:val="0000ff"/>
            <w:sz w:val="22"/>
            <w:szCs w:val="22"/>
            <w:u w:val="single"/>
            <w:rtl w:val="0"/>
          </w:rPr>
          <w:t xml:space="preserve">https://napoleoncat.com/pl/regulamin/</w:t>
        </w:r>
      </w:hyperlink>
      <w:r w:rsidDel="00000000" w:rsidR="00000000" w:rsidRPr="00000000">
        <w:rPr>
          <w:rFonts w:ascii="Montserrat SemiBold" w:cs="Montserrat SemiBold" w:eastAsia="Montserrat SemiBold" w:hAnsi="Montserrat SemiBold"/>
          <w:b w:val="1"/>
          <w:color w:val="000000"/>
          <w:sz w:val="22"/>
          <w:szCs w:val="22"/>
          <w:rtl w:val="0"/>
        </w:rPr>
        <w:t xml:space="preserve"> </w:t>
      </w:r>
      <w:r w:rsidDel="00000000" w:rsidR="00000000" w:rsidRPr="00000000">
        <w:rPr>
          <w:rtl w:val="0"/>
        </w:rPr>
      </w:r>
    </w:p>
    <w:p w:rsidR="00000000" w:rsidDel="00000000" w:rsidP="00000000" w:rsidRDefault="00000000" w:rsidRPr="00000000" w14:paraId="00000002">
      <w:pPr>
        <w:pBdr>
          <w:between w:space="0" w:sz="0" w:val="nil"/>
        </w:pBdr>
        <w:spacing w:after="120" w:line="288" w:lineRule="auto"/>
        <w:jc w:val="center"/>
        <w:rPr>
          <w:rFonts w:ascii="Montserrat SemiBold" w:cs="Montserrat SemiBold" w:eastAsia="Montserrat SemiBold" w:hAnsi="Montserrat SemiBold"/>
          <w:color w:val="000000"/>
          <w:sz w:val="22"/>
          <w:szCs w:val="22"/>
        </w:rPr>
      </w:pPr>
      <w:r w:rsidDel="00000000" w:rsidR="00000000" w:rsidRPr="00000000">
        <w:rPr>
          <w:rtl w:val="0"/>
        </w:rPr>
      </w:r>
    </w:p>
    <w:p w:rsidR="00000000" w:rsidDel="00000000" w:rsidP="00000000" w:rsidRDefault="00000000" w:rsidRPr="00000000" w14:paraId="00000003">
      <w:pPr>
        <w:pBdr>
          <w:between w:space="0" w:sz="0" w:val="nil"/>
        </w:pBdr>
        <w:spacing w:after="120" w:line="288" w:lineRule="auto"/>
        <w:jc w:val="center"/>
        <w:rPr>
          <w:rFonts w:ascii="Montserrat SemiBold" w:cs="Montserrat SemiBold" w:eastAsia="Montserrat SemiBold" w:hAnsi="Montserrat SemiBold"/>
          <w:color w:val="000000"/>
          <w:sz w:val="22"/>
          <w:szCs w:val="22"/>
        </w:rPr>
      </w:pPr>
      <w:r w:rsidDel="00000000" w:rsidR="00000000" w:rsidRPr="00000000">
        <w:rPr>
          <w:rFonts w:ascii="Montserrat SemiBold" w:cs="Montserrat SemiBold" w:eastAsia="Montserrat SemiBold" w:hAnsi="Montserrat SemiBold"/>
          <w:color w:val="000000"/>
          <w:sz w:val="22"/>
          <w:szCs w:val="22"/>
          <w:rtl w:val="0"/>
        </w:rPr>
        <w:t xml:space="preserve">UMOWA POWIERZENIA PRZETWARZANIA DANYCH OSOBOWYCH</w:t>
      </w:r>
    </w:p>
    <w:p w:rsidR="00000000" w:rsidDel="00000000" w:rsidP="00000000" w:rsidRDefault="00000000" w:rsidRPr="00000000" w14:paraId="00000004">
      <w:pPr>
        <w:pBdr>
          <w:between w:space="0" w:sz="0" w:val="nil"/>
        </w:pBdr>
        <w:spacing w:after="120" w:line="288" w:lineRule="auto"/>
        <w:jc w:val="center"/>
        <w:rPr>
          <w:rFonts w:ascii="Montserrat SemiBold" w:cs="Montserrat SemiBold" w:eastAsia="Montserrat SemiBold" w:hAnsi="Montserrat SemiBold"/>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Strony</w:t>
      </w:r>
      <w:r w:rsidDel="00000000" w:rsidR="00000000" w:rsidRPr="00000000">
        <w:rPr>
          <w:rtl w:val="0"/>
        </w:rPr>
      </w:r>
    </w:p>
    <w:p w:rsidR="00000000" w:rsidDel="00000000" w:rsidP="00000000" w:rsidRDefault="00000000" w:rsidRPr="00000000" w14:paraId="00000006">
      <w:pPr>
        <w:pBdr>
          <w:between w:space="0" w:sz="0" w:val="nil"/>
        </w:pBdr>
        <w:spacing w:after="120" w:line="288" w:lineRule="auto"/>
        <w:ind w:firstLine="709"/>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Niniejsza umowa jest zawarta pomiędzy:</w:t>
      </w:r>
    </w:p>
    <w:p w:rsidR="00000000" w:rsidDel="00000000" w:rsidP="00000000" w:rsidRDefault="00000000" w:rsidRPr="00000000" w14:paraId="00000007">
      <w:pPr>
        <w:numPr>
          <w:ilvl w:val="0"/>
          <w:numId w:val="1"/>
        </w:numPr>
        <w:pBdr>
          <w:between w:space="0" w:sz="0" w:val="nil"/>
        </w:pBdr>
        <w:spacing w:after="120" w:line="288" w:lineRule="auto"/>
        <w:ind w:left="1069"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Użytkownikiem lub, odpowiednio, Użytkownikiem Testowym, korzystającym z Usług dostępnych w Serwisie (jak zdefiniowano w Regulaminie), jako podmiotem powierzającym dane do przetwarzania (dalej „Użytkownik”) </w:t>
      </w:r>
    </w:p>
    <w:p w:rsidR="00000000" w:rsidDel="00000000" w:rsidP="00000000" w:rsidRDefault="00000000" w:rsidRPr="00000000" w14:paraId="00000008">
      <w:pPr>
        <w:pBdr>
          <w:between w:space="0" w:sz="0" w:val="nil"/>
        </w:pBdr>
        <w:spacing w:after="120" w:line="288" w:lineRule="auto"/>
        <w:ind w:left="349" w:firstLine="720"/>
        <w:rPr>
          <w:rFonts w:ascii="Montserrat Light" w:cs="Montserrat Light" w:eastAsia="Montserrat Light" w:hAnsi="Montserrat Light"/>
          <w:color w:val="000000"/>
          <w:sz w:val="22"/>
          <w:szCs w:val="22"/>
        </w:rPr>
      </w:pPr>
      <w:bookmarkStart w:colFirst="0" w:colLast="0" w:name="_heading=h.30j0zll" w:id="1"/>
      <w:bookmarkEnd w:id="1"/>
      <w:r w:rsidDel="00000000" w:rsidR="00000000" w:rsidRPr="00000000">
        <w:rPr>
          <w:rFonts w:ascii="Montserrat Light" w:cs="Montserrat Light" w:eastAsia="Montserrat Light" w:hAnsi="Montserrat Light"/>
          <w:color w:val="000000"/>
          <w:sz w:val="22"/>
          <w:szCs w:val="22"/>
          <w:rtl w:val="0"/>
        </w:rPr>
        <w:t xml:space="preserve">a</w:t>
      </w:r>
    </w:p>
    <w:p w:rsidR="00000000" w:rsidDel="00000000" w:rsidP="00000000" w:rsidRDefault="00000000" w:rsidRPr="00000000" w14:paraId="00000009">
      <w:pPr>
        <w:numPr>
          <w:ilvl w:val="0"/>
          <w:numId w:val="1"/>
        </w:numPr>
        <w:spacing w:after="120" w:line="288" w:lineRule="auto"/>
        <w:ind w:left="1069" w:hanging="360"/>
        <w:jc w:val="both"/>
        <w:rPr>
          <w:rFonts w:ascii="Montserrat Light" w:cs="Montserrat Light" w:eastAsia="Montserrat Light" w:hAnsi="Montserrat Light"/>
          <w:sz w:val="22"/>
          <w:szCs w:val="22"/>
        </w:rPr>
      </w:pPr>
      <w:r w:rsidDel="00000000" w:rsidR="00000000" w:rsidRPr="00000000">
        <w:rPr>
          <w:rFonts w:ascii="Montserrat Light" w:cs="Montserrat Light" w:eastAsia="Montserrat Light" w:hAnsi="Montserrat Light"/>
          <w:sz w:val="22"/>
          <w:szCs w:val="22"/>
          <w:rtl w:val="0"/>
        </w:rPr>
        <w:t xml:space="preserve">Usługodawcą (w rozumieniu Regulaminu), czyli spółką Napoleon sp. z o.o. z siedzibą w Warszawie, przy ul. Szpitalna 8A lok. 5, 00-031 Warszawa, wpisana do rejestru przedsiębiorców prowadzonego przez Sąd Rejonowy dla m.st. Warszawy XII Wydział Gospodarczy Krajowego Rejestru Sądowego pod numerem 0000470410, o kapitale zakładowym 5.118.000 PLN, NIP 521-365-09-77, jako podmiotem przetwarzającym (dalej „Usługodawca”).</w:t>
      </w:r>
      <w:r w:rsidDel="00000000" w:rsidR="00000000" w:rsidRPr="00000000">
        <w:rPr>
          <w:rtl w:val="0"/>
        </w:rPr>
      </w:r>
    </w:p>
    <w:p w:rsidR="00000000" w:rsidDel="00000000" w:rsidP="00000000" w:rsidRDefault="00000000" w:rsidRPr="00000000" w14:paraId="0000000A">
      <w:pPr>
        <w:numPr>
          <w:ilvl w:val="0"/>
          <w:numId w:val="1"/>
        </w:numPr>
        <w:pBdr>
          <w:between w:space="0" w:sz="0" w:val="nil"/>
        </w:pBdr>
        <w:spacing w:after="120" w:line="288" w:lineRule="auto"/>
        <w:ind w:left="1069" w:hanging="360"/>
        <w:jc w:val="both"/>
        <w:rPr>
          <w:rFonts w:ascii="Montserrat Light" w:cs="Montserrat Light" w:eastAsia="Montserrat Light" w:hAnsi="Montserrat Light"/>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oraz Usługodawca zwani będą dalej łącznie „Stronami”)</w:t>
      </w:r>
      <w:r w:rsidDel="00000000" w:rsidR="00000000" w:rsidRPr="00000000">
        <w:rPr>
          <w:rtl w:val="0"/>
        </w:rPr>
      </w:r>
    </w:p>
    <w:p w:rsidR="00000000" w:rsidDel="00000000" w:rsidP="00000000" w:rsidRDefault="00000000" w:rsidRPr="00000000" w14:paraId="0000000B">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Definicje</w:t>
      </w:r>
      <w:r w:rsidDel="00000000" w:rsidR="00000000" w:rsidRPr="00000000">
        <w:rPr>
          <w:rtl w:val="0"/>
        </w:rPr>
      </w:r>
    </w:p>
    <w:p w:rsidR="00000000" w:rsidDel="00000000" w:rsidP="00000000" w:rsidRDefault="00000000" w:rsidRPr="00000000" w14:paraId="0000000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Pojęcia pisane wielką literą w Umowie oraz w Załączniku mają następujące znaczenie:</w:t>
      </w:r>
      <w:r w:rsidDel="00000000" w:rsidR="00000000" w:rsidRPr="00000000">
        <w:rPr>
          <w:rtl w:val="0"/>
        </w:rPr>
      </w:r>
    </w:p>
    <w:p w:rsidR="00000000" w:rsidDel="00000000" w:rsidP="00000000" w:rsidRDefault="00000000" w:rsidRPr="00000000" w14:paraId="0000000D">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Aplikacja – oznacza oprogramowanie udostępniane przez Usługodawcę jako usługa (ang.: software as a service), za pomocą którego Użytkownik może zarządzać stronami/kontami/profilami i swoją obecnością (lub obecnością Klienta Użytkownika) w Serwisach Internetowych, a także dokonywać analizy aktywności stron/kont/profili w Serwisach Internetowych. Liczba i rodzaj funkcjonalności Aplikacji udostępnianych danemu Użytkownikowi uzależnione są od tego, jaki Pakiet wybrał Użytkownik.</w:t>
      </w:r>
    </w:p>
    <w:p w:rsidR="00000000" w:rsidDel="00000000" w:rsidP="00000000" w:rsidRDefault="00000000" w:rsidRPr="00000000" w14:paraId="0000000E">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Regulamin – oznacza niniejszy „Regulamin świadczenia usług drogą elektroniczną” dotyczący usługi NapoleonCat dostępny pod adresem https://napoleoncat.com/terms.</w:t>
      </w:r>
    </w:p>
    <w:p w:rsidR="00000000" w:rsidDel="00000000" w:rsidP="00000000" w:rsidRDefault="00000000" w:rsidRPr="00000000" w14:paraId="0000000F">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RODO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rsidR="00000000" w:rsidDel="00000000" w:rsidP="00000000" w:rsidRDefault="00000000" w:rsidRPr="00000000" w14:paraId="00000010">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Serwis Internetowy – oznacza media społecznościowe obsługiwane w ramach Usług na podstawie Umowy Podstawowej (np. Facebook, Instagram, Twitter, YouTube, Google+ i Pinterest), wraz z kanałami komunikacji bezpośredniej powiązanymi z tymi serwisami (np. platforma Facebook Messenger)</w:t>
      </w:r>
    </w:p>
    <w:p w:rsidR="00000000" w:rsidDel="00000000" w:rsidP="00000000" w:rsidRDefault="00000000" w:rsidRPr="00000000" w14:paraId="00000011">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Umowa Podstawowa – oznacza zbiór wiążących Strony dokumentów regulujących świadczenie Usług w ramach Współpracy, w tym Regulamin, zamówienie określające konkretny Pakiet Usług, a także osobna umowa o świadczenie Usług (o ile została zawarta), zwany będzie dalej „Umową Podstawową”</w:t>
      </w:r>
    </w:p>
    <w:p w:rsidR="00000000" w:rsidDel="00000000" w:rsidP="00000000" w:rsidRDefault="00000000" w:rsidRPr="00000000" w14:paraId="00000012">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Usługa – świadczenia otrzymywane przez Użytkownika na podstawie Umowy Podstawowej usług polegające w szczególności na udostępnieniu Użytkownikowi określonych funkcjonalności dostępnych w Aplikacji. Rodzaj i zakres Usług zależy od wyboru Pakietu.</w:t>
      </w:r>
    </w:p>
    <w:p w:rsidR="00000000" w:rsidDel="00000000" w:rsidP="00000000" w:rsidRDefault="00000000" w:rsidRPr="00000000" w14:paraId="00000013">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Końcowy – oznacza użytkownika końcowego Serwisu Internetowego.</w:t>
      </w:r>
    </w:p>
    <w:p w:rsidR="00000000" w:rsidDel="00000000" w:rsidP="00000000" w:rsidRDefault="00000000" w:rsidRPr="00000000" w14:paraId="00000014">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Klient Użytkownika</w:t>
      </w:r>
      <w:r w:rsidDel="00000000" w:rsidR="00000000" w:rsidRPr="00000000">
        <w:rPr>
          <w:rFonts w:ascii="Montserrat Light" w:cs="Montserrat Light" w:eastAsia="Montserrat Light" w:hAnsi="Montserrat Light"/>
          <w:b w:val="1"/>
          <w:color w:val="000000"/>
          <w:sz w:val="22"/>
          <w:szCs w:val="22"/>
          <w:rtl w:val="0"/>
        </w:rPr>
        <w:t xml:space="preserve"> </w:t>
      </w:r>
      <w:r w:rsidDel="00000000" w:rsidR="00000000" w:rsidRPr="00000000">
        <w:rPr>
          <w:rFonts w:ascii="Montserrat Light" w:cs="Montserrat Light" w:eastAsia="Montserrat Light" w:hAnsi="Montserrat Light"/>
          <w:color w:val="000000"/>
          <w:sz w:val="22"/>
          <w:szCs w:val="22"/>
          <w:rtl w:val="0"/>
        </w:rPr>
        <w:t xml:space="preserve">– oznacza podmiot, na zlecenie którego lub na rzecz którego działa Użytkownik, w szczególności poprzez zarządzanie obecnością tego Klienta w Serwisach Społecznościowych. Na potrzeby tego zarządzania Użytkownik korzysta z Usług. W przypadku Użytkowników, którzy w ramach Współpracy działają na własną rzecz, nie występuje pojęcie „Klienta Użytkownika”. </w:t>
      </w:r>
    </w:p>
    <w:p w:rsidR="00000000" w:rsidDel="00000000" w:rsidP="00000000" w:rsidRDefault="00000000" w:rsidRPr="00000000" w14:paraId="00000015">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Inne pojęcia pisane wielką literą w niniejszej Umowie mają znaczenie nadane im w Regulaminie, chyba że co innego wynika wprost z niniejszej Umowy.</w:t>
      </w:r>
    </w:p>
    <w:p w:rsidR="00000000" w:rsidDel="00000000" w:rsidP="00000000" w:rsidRDefault="00000000" w:rsidRPr="00000000" w14:paraId="00000016">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Powierzenie przetwarzania</w:t>
      </w:r>
    </w:p>
    <w:p w:rsidR="00000000" w:rsidDel="00000000" w:rsidP="00000000" w:rsidRDefault="00000000" w:rsidRPr="00000000" w14:paraId="00000017">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Niniejsza Umowa Powierzenia Przetwarzania (dalej “Umowa”) stanowi porozumienie Stron dotyczące warunków przetwarzania Danych Osobowych w ramach Umowy Podstawowej. </w:t>
      </w:r>
    </w:p>
    <w:p w:rsidR="00000000" w:rsidDel="00000000" w:rsidP="00000000" w:rsidRDefault="00000000" w:rsidRPr="00000000" w14:paraId="00000018">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Umowa stanowi uzupełnienie i integralną cześć Umowy Podstawowej w zakresie przetwarzania Danych Osobowych, chyba że Użytkownik i Usługodawca zdecydowali o zawarciu odrębnej umowy powierzenia przetwarzania danych. </w:t>
      </w:r>
      <w:r w:rsidDel="00000000" w:rsidR="00000000" w:rsidRPr="00000000">
        <w:rPr>
          <w:rtl w:val="0"/>
        </w:rPr>
      </w:r>
    </w:p>
    <w:p w:rsidR="00000000" w:rsidDel="00000000" w:rsidP="00000000" w:rsidRDefault="00000000" w:rsidRPr="00000000" w14:paraId="00000019">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bookmarkStart w:colFirst="0" w:colLast="0" w:name="_heading=h.tyjcwt" w:id="2"/>
      <w:bookmarkEnd w:id="2"/>
      <w:r w:rsidDel="00000000" w:rsidR="00000000" w:rsidRPr="00000000">
        <w:rPr>
          <w:rFonts w:ascii="Montserrat Light" w:cs="Montserrat Light" w:eastAsia="Montserrat Light" w:hAnsi="Montserrat Light"/>
          <w:color w:val="000000"/>
          <w:sz w:val="22"/>
          <w:szCs w:val="22"/>
          <w:rtl w:val="0"/>
        </w:rPr>
        <w:t xml:space="preserve">Użytkownik powierza Usługodawcy dane osobowe (dalej „Dane Osobowe”) do przetwarzania, na zasadach i w celu określonym w niniejszej Umowie, a Usługodawca zobowiązuje się przetwarzać powierzone mu Dane Osobowe na polecenie Użytkownika, zgodnie z niniejszą Umową i obowiązującymi przepisami.</w:t>
      </w:r>
    </w:p>
    <w:p w:rsidR="00000000" w:rsidDel="00000000" w:rsidP="00000000" w:rsidRDefault="00000000" w:rsidRPr="00000000" w14:paraId="0000001A">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Powierzenie odbywa się w trybie art. 28 RODO.</w:t>
      </w:r>
    </w:p>
    <w:p w:rsidR="00000000" w:rsidDel="00000000" w:rsidP="00000000" w:rsidRDefault="00000000" w:rsidRPr="00000000" w14:paraId="0000001B">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Zakres i cel przetwarzania danych</w:t>
      </w:r>
    </w:p>
    <w:p w:rsidR="00000000" w:rsidDel="00000000" w:rsidP="00000000" w:rsidRDefault="00000000" w:rsidRPr="00000000" w14:paraId="0000001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Powierzone przez Użytkownika Dane Osobowe będą przetwarzane przez Usługodawcę wyłącznie w celu wykonywania przez Usługodawcę usług, czynności i działań w ramach współpracy między Stronami (dalej „Współpraca”) na podstawie Umowy Podstawowej zawartej między Stronami, dotyczącej korzystania przez Użytkownika z Usługi i Aplikacji („Umowa Podstawowa”).</w:t>
      </w:r>
    </w:p>
    <w:p w:rsidR="00000000" w:rsidDel="00000000" w:rsidP="00000000" w:rsidRDefault="00000000" w:rsidRPr="00000000" w14:paraId="0000001D">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Szczegółowy przedmiot, charakter i cel przetwarzania, rodzaj danych osobowych oraz kategorie osób, których dane dotyczą, zostały wskazane Załączniku nr 1 do Umowy. </w:t>
      </w:r>
    </w:p>
    <w:p w:rsidR="00000000" w:rsidDel="00000000" w:rsidP="00000000" w:rsidRDefault="00000000" w:rsidRPr="00000000" w14:paraId="0000001E">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bookmarkStart w:colFirst="0" w:colLast="0" w:name="_heading=h.1fob9te" w:id="3"/>
      <w:bookmarkEnd w:id="3"/>
      <w:r w:rsidDel="00000000" w:rsidR="00000000" w:rsidRPr="00000000">
        <w:rPr>
          <w:rFonts w:ascii="Montserrat Light" w:cs="Montserrat Light" w:eastAsia="Montserrat Light" w:hAnsi="Montserrat Light"/>
          <w:color w:val="000000"/>
          <w:sz w:val="22"/>
          <w:szCs w:val="22"/>
          <w:rtl w:val="0"/>
        </w:rPr>
        <w:t xml:space="preserve">Przetwarzanie danych przez Usługodawcę będzie się odbywało w okresie obowiązywania Umowy Podstawowej i Współpracy i będzie miało charakter cykliczny w tym okresie.</w:t>
      </w:r>
    </w:p>
    <w:p w:rsidR="00000000" w:rsidDel="00000000" w:rsidP="00000000" w:rsidRDefault="00000000" w:rsidRPr="00000000" w14:paraId="0000001F">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Przetwarzanie odbywa się na udokumentowanie polecenie Użytkownika – przy czym niniejsza Umowa i Umowa Podstawowa stanowi takie polecenie.</w:t>
      </w:r>
    </w:p>
    <w:p w:rsidR="00000000" w:rsidDel="00000000" w:rsidP="00000000" w:rsidRDefault="00000000" w:rsidRPr="00000000" w14:paraId="00000020">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Obowiązki Usługodawcy</w:t>
      </w:r>
    </w:p>
    <w:p w:rsidR="00000000" w:rsidDel="00000000" w:rsidP="00000000" w:rsidRDefault="00000000" w:rsidRPr="00000000" w14:paraId="00000021">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Usługodawca oświadcza, że zapewnia wystarczające gwarancje wdrożenia odpowiednich środków technicznych i organizacyjnych, by przetwarzanie spełniało wymogi RODO i chroniło prawa osób, których dane dotyczą.</w:t>
      </w:r>
    </w:p>
    <w:p w:rsidR="00000000" w:rsidDel="00000000" w:rsidP="00000000" w:rsidRDefault="00000000" w:rsidRPr="00000000" w14:paraId="00000022">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Usługodawca zobowiązuje się, przy przetwarzaniu powierzonych Danych Osobowych, do podjęcia środków wymaganych na mocy art. 32 RODO, </w:t>
      </w:r>
      <w:r w:rsidDel="00000000" w:rsidR="00000000" w:rsidRPr="00000000">
        <w:rPr>
          <w:rFonts w:ascii="Montserrat Light" w:cs="Montserrat Light" w:eastAsia="Montserrat Light" w:hAnsi="Montserrat Light"/>
          <w:sz w:val="22"/>
          <w:szCs w:val="22"/>
          <w:rtl w:val="0"/>
        </w:rPr>
        <w:t xml:space="preserve">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t>
      </w:r>
      <w:r w:rsidDel="00000000" w:rsidR="00000000" w:rsidRPr="00000000">
        <w:rPr>
          <w:rtl w:val="0"/>
        </w:rPr>
      </w:r>
    </w:p>
    <w:p w:rsidR="00000000" w:rsidDel="00000000" w:rsidP="00000000" w:rsidRDefault="00000000" w:rsidRPr="00000000" w14:paraId="00000023">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Usługodawca </w:t>
      </w:r>
      <w:r w:rsidDel="00000000" w:rsidR="00000000" w:rsidRPr="00000000">
        <w:rPr>
          <w:rFonts w:ascii="Montserrat Light" w:cs="Montserrat Light" w:eastAsia="Montserrat Light" w:hAnsi="Montserrat Light"/>
          <w:sz w:val="22"/>
          <w:szCs w:val="22"/>
          <w:rtl w:val="0"/>
        </w:rPr>
        <w:t xml:space="preserve">zapewnienia by osoby upoważnione do przetwarzania danych osobowych zobowiązały się </w:t>
      </w:r>
      <w:r w:rsidDel="00000000" w:rsidR="00000000" w:rsidRPr="00000000">
        <w:rPr>
          <w:rFonts w:ascii="Montserrat Light" w:cs="Montserrat Light" w:eastAsia="Montserrat Light" w:hAnsi="Montserrat Light"/>
          <w:color w:val="000000"/>
          <w:sz w:val="22"/>
          <w:szCs w:val="22"/>
          <w:rtl w:val="0"/>
        </w:rPr>
        <w:t xml:space="preserve">do zachowania w tajemnicy </w:t>
        <w:br w:type="textWrapping"/>
        <w:t xml:space="preserve">przetwarzanych danych</w:t>
      </w:r>
      <w:r w:rsidDel="00000000" w:rsidR="00000000" w:rsidRPr="00000000">
        <w:rPr>
          <w:rFonts w:ascii="Montserrat Light" w:cs="Montserrat Light" w:eastAsia="Montserrat Light" w:hAnsi="Montserrat Light"/>
          <w:sz w:val="22"/>
          <w:szCs w:val="22"/>
          <w:rtl w:val="0"/>
        </w:rPr>
        <w:t xml:space="preserve"> lub by podlegały odpowiedniemu ustawowemu obowiązkowi zachowania tajemnicy</w:t>
      </w:r>
      <w:r w:rsidDel="00000000" w:rsidR="00000000" w:rsidRPr="00000000">
        <w:rPr>
          <w:rFonts w:ascii="Montserrat Light" w:cs="Montserrat Light" w:eastAsia="Montserrat Light" w:hAnsi="Montserrat Light"/>
          <w:color w:val="000000"/>
          <w:sz w:val="22"/>
          <w:szCs w:val="22"/>
          <w:rtl w:val="0"/>
        </w:rPr>
        <w:t xml:space="preserve">.</w:t>
      </w:r>
    </w:p>
    <w:p w:rsidR="00000000" w:rsidDel="00000000" w:rsidP="00000000" w:rsidRDefault="00000000" w:rsidRPr="00000000" w14:paraId="00000024">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Zasady współpracy</w:t>
      </w:r>
    </w:p>
    <w:p w:rsidR="00000000" w:rsidDel="00000000" w:rsidP="00000000" w:rsidRDefault="00000000" w:rsidRPr="00000000" w14:paraId="00000025">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 zakończeniu świadczenia Usług związanych z przetwarzaniem w ramach Współpracy Usługodawca, zależnie od decyzji Użytkownika, usuwa lub zwraca mu wszelkie Dane Osobowe oraz usuwa wszelkie ich istniejące kopie, chyba że prawo Unii lub prawo państwa członkowskiego nakazują przechowywanie Danych Osobowych.</w:t>
      </w:r>
    </w:p>
    <w:p w:rsidR="00000000" w:rsidDel="00000000" w:rsidP="00000000" w:rsidRDefault="00000000" w:rsidRPr="00000000" w14:paraId="00000026">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Biorąc pod uwagę charakter przetwarzania, Usługodawca w miarę możliwości pomaga Użytkownikowi, poprzez odpowiednie środki techniczne i organizacyjne, wywiązać się z obowiązku odpowiadania na żądania osoby, której dane dotyczą, w zakresie wykonywania jej praw określonych w rozdziale III RODO.</w:t>
      </w:r>
    </w:p>
    <w:p w:rsidR="00000000" w:rsidDel="00000000" w:rsidP="00000000" w:rsidRDefault="00000000" w:rsidRPr="00000000" w14:paraId="00000027">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Usługodawca, uwzględniając charakter przetwarzania oraz dostępne mu informacje, zobowiązany jest pomagać Użytkownikowi wywiązać się z obowiązków określonych w art. 32-36 RODO.</w:t>
      </w:r>
    </w:p>
    <w:p w:rsidR="00000000" w:rsidDel="00000000" w:rsidP="00000000" w:rsidRDefault="00000000" w:rsidRPr="00000000" w14:paraId="00000028">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sz w:val="22"/>
          <w:szCs w:val="22"/>
          <w:rtl w:val="0"/>
        </w:rPr>
        <w:t xml:space="preserve">W przypadku stwierdzenia przez Usługodawcę wystąpienia naruszenia ochrony Danych Osobowych tj. </w:t>
      </w:r>
      <w:r w:rsidDel="00000000" w:rsidR="00000000" w:rsidRPr="00000000">
        <w:rPr>
          <w:rFonts w:ascii="Montserrat Light" w:cs="Montserrat Light" w:eastAsia="Montserrat Light" w:hAnsi="Montserrat Light"/>
          <w:sz w:val="22"/>
          <w:szCs w:val="22"/>
          <w:highlight w:val="white"/>
          <w:rtl w:val="0"/>
        </w:rPr>
        <w:t xml:space="preserve">przypadkowego lub niezgodnego z prawem zniszczenia, utracenia, zmodyfikowania, nieuprawnionego ujawnienia lub nieuprawnionego dostępu do powierzonych Danych Osobowych</w:t>
      </w:r>
      <w:r w:rsidDel="00000000" w:rsidR="00000000" w:rsidRPr="00000000">
        <w:rPr>
          <w:rFonts w:ascii="Montserrat Light" w:cs="Montserrat Light" w:eastAsia="Montserrat Light" w:hAnsi="Montserrat Light"/>
          <w:sz w:val="22"/>
          <w:szCs w:val="22"/>
          <w:rtl w:val="0"/>
        </w:rPr>
        <w:t xml:space="preserve">, Usługodawca </w:t>
      </w:r>
      <w:r w:rsidDel="00000000" w:rsidR="00000000" w:rsidRPr="00000000">
        <w:rPr>
          <w:rFonts w:ascii="Montserrat Light" w:cs="Montserrat Light" w:eastAsia="Montserrat Light" w:hAnsi="Montserrat Light"/>
          <w:color w:val="000000"/>
          <w:sz w:val="22"/>
          <w:szCs w:val="22"/>
          <w:rtl w:val="0"/>
        </w:rPr>
        <w:t xml:space="preserve">bez zbędnej zwłoki zgłasza je Użytkownikowi, a także </w:t>
      </w:r>
      <w:r w:rsidDel="00000000" w:rsidR="00000000" w:rsidRPr="00000000">
        <w:rPr>
          <w:rFonts w:ascii="Montserrat Light" w:cs="Montserrat Light" w:eastAsia="Montserrat Light" w:hAnsi="Montserrat Light"/>
          <w:sz w:val="22"/>
          <w:szCs w:val="22"/>
          <w:rtl w:val="0"/>
        </w:rPr>
        <w:t xml:space="preserve">przekazuje informacje, które mogą być zasadnie wymagane przez Użytkownika w związku z takim naruszeniem.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hanging="454"/>
        <w:jc w:val="both"/>
        <w:rPr>
          <w:rFonts w:ascii="Montserrat Light" w:cs="Montserrat Light" w:eastAsia="Montserrat Light" w:hAnsi="Montserrat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zobowiązany jest współdziałać z Usługodawcą w wykonaniu Umowy, udzielać Usługodawcy wyjaśnień w razie wątpliwości co do legalności poleceń Użytkownika, jak też wywiązywać się terminowo ze swoich szczegółowych obowiązków. </w:t>
      </w:r>
    </w:p>
    <w:p w:rsidR="00000000" w:rsidDel="00000000" w:rsidP="00000000" w:rsidRDefault="00000000" w:rsidRPr="00000000" w14:paraId="0000002B">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Audyt</w:t>
      </w:r>
    </w:p>
    <w:p w:rsidR="00000000" w:rsidDel="00000000" w:rsidP="00000000" w:rsidRDefault="00000000" w:rsidRPr="00000000" w14:paraId="0000002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Usługodawca udostępnia Użytkownikowi na jego żądanie wszelkie informacje niezbędne do wykazania spełnienia obowiązków określonych w art. 28 RODO oraz umożliwia Użytkownikowi lub audytorowi upoważnionemu przez Użytkownika przeprowadzanie audytów (na koszt Użytkownika), w tym inspekcji, i przyczynia się do nich. O skorzystaniu z prawa przeprowadzenia kontroli, Użytkownik powinien uprzedzić Usługodawcę z co najmniej 30-dniowym wyprzedzeniem, kierując w tym celu do Usługodawcy stosowne pisemne zawiadomienie wskazujące także na zakres kontroli oraz osoby upoważnione do jej przeprowadzenia.  </w:t>
      </w:r>
    </w:p>
    <w:p w:rsidR="00000000" w:rsidDel="00000000" w:rsidP="00000000" w:rsidRDefault="00000000" w:rsidRPr="00000000" w14:paraId="0000002D">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Jeżeli z uzasadnionych przyczyn przeprowadzenie kontroli nie będzie możliwe w terminie wskazanym przez Użytkownika, Usługodawca poinformuje Użytkownika o pierwszym możliwym terminie przeprowadzenia kontroli.</w:t>
      </w:r>
    </w:p>
    <w:p w:rsidR="00000000" w:rsidDel="00000000" w:rsidP="00000000" w:rsidRDefault="00000000" w:rsidRPr="00000000" w14:paraId="0000002E">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Audyt, o którym mowa powyżej, Użytkownik winien przeprowadzić mając na uwadze godziny pracy Usługodawcy, w sposób możliwie niezakłócający pracy</w:t>
      </w:r>
      <w:r w:rsidDel="00000000" w:rsidR="00000000" w:rsidRPr="00000000">
        <w:rPr>
          <w:rFonts w:ascii="Montserrat Light" w:cs="Montserrat Light" w:eastAsia="Montserrat Light" w:hAnsi="Montserrat Light"/>
          <w:sz w:val="22"/>
          <w:szCs w:val="22"/>
          <w:rtl w:val="0"/>
        </w:rPr>
        <w:t xml:space="preserve"> oraz z tym zastrzeżeniem, że nie może on trwać łącznie dłużej niż 1 dzień roboczy. </w:t>
      </w:r>
      <w:r w:rsidDel="00000000" w:rsidR="00000000" w:rsidRPr="00000000">
        <w:rPr>
          <w:rtl w:val="0"/>
        </w:rPr>
      </w:r>
    </w:p>
    <w:p w:rsidR="00000000" w:rsidDel="00000000" w:rsidP="00000000" w:rsidRDefault="00000000" w:rsidRPr="00000000" w14:paraId="0000002F">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bookmarkStart w:colFirst="0" w:colLast="0" w:name="_heading=h.3znysh7" w:id="4"/>
      <w:bookmarkEnd w:id="4"/>
      <w:r w:rsidDel="00000000" w:rsidR="00000000" w:rsidRPr="00000000">
        <w:rPr>
          <w:rFonts w:ascii="Montserrat Light" w:cs="Montserrat Light" w:eastAsia="Montserrat Light" w:hAnsi="Montserrat Light"/>
          <w:color w:val="000000"/>
          <w:sz w:val="22"/>
          <w:szCs w:val="22"/>
          <w:rtl w:val="0"/>
        </w:rPr>
        <w:t xml:space="preserve">Po przeprowadzonym audycie, Użytkownik zobowiązany jest do przekazania Usługodawcy protokołu zawierającego ustalenia i wnioski pokontrolne. Usługodawca będzie zobowiązany do wykonania jedynie takich zaleceń pokontrolnych, które będą obiektywnie uzasadnione. Zalecenia nie mogą iść dalej niż wymogi wynikające z przepisów prawa. </w:t>
      </w:r>
    </w:p>
    <w:p w:rsidR="00000000" w:rsidDel="00000000" w:rsidP="00000000" w:rsidRDefault="00000000" w:rsidRPr="00000000" w14:paraId="00000030">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Korzystanie przez Użytkownika z uprawnień określonych w niniejszym punkcie nie może prowadzić do naruszenia tajemnicy przedsiębiorstwa Usługodawcy ani osób trzecich.</w:t>
      </w:r>
    </w:p>
    <w:p w:rsidR="00000000" w:rsidDel="00000000" w:rsidP="00000000" w:rsidRDefault="00000000" w:rsidRPr="00000000" w14:paraId="00000031">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Dalsze powierzenie danych do przetwarzania</w:t>
      </w:r>
    </w:p>
    <w:p w:rsidR="00000000" w:rsidDel="00000000" w:rsidP="00000000" w:rsidRDefault="00000000" w:rsidRPr="00000000" w14:paraId="00000032">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Inne podmioty, z których usług korzysta lub może korzystać Usługodawca w zakresie dotyczącym czynności przetwarzania Danych Osobowych w imieniu Użytkownika, zwane będą dalej „Innymi Podmiotami Przetwarzającymi”.</w:t>
      </w:r>
    </w:p>
    <w:p w:rsidR="00000000" w:rsidDel="00000000" w:rsidP="00000000" w:rsidRDefault="00000000" w:rsidRPr="00000000" w14:paraId="00000033">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wyraża ogólną pisemną zgodę na dalsze powierzenie przez Usługodawcę Danych Osobowych Innym Podmiotom Przetwarzającym w zakresie w jakim jest to wymagane lub potrzebne (według oceny Usługodawcy) do świadczenia usług przez Usługodawcę w ramach Współpracy. Powierzenie może dotyczyć w szczególności podmiotów świadczących na rzecz Podmiotu Przetwarzającego usług związanych z infrastrukturą informatyczna, teletechniczną etc. – w szczególności dostawcy usług poczty internetowej, usług hostingu i usług zewnętrznego przechowywania i przesyłu danych. </w:t>
      </w:r>
    </w:p>
    <w:p w:rsidR="00000000" w:rsidDel="00000000" w:rsidP="00000000" w:rsidRDefault="00000000" w:rsidRPr="00000000" w14:paraId="00000034">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W przypadku planowanego powierzenia Danych Osobowych Innym Podmiotom Przetwarzającym stosuje się następujące zasady:</w:t>
      </w:r>
    </w:p>
    <w:p w:rsidR="00000000" w:rsidDel="00000000" w:rsidP="00000000" w:rsidRDefault="00000000" w:rsidRPr="00000000" w14:paraId="00000035">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Usługodawca informuje Użytkownika o wszelkich zamierzonych zmianach dotyczących dodania lub zastąpienia Innych Podmiotów Przetwarzających, dając tym samym Użytkownikowi możliwość wyrażenia sprzeciwu wobec takich zmian;</w:t>
      </w:r>
    </w:p>
    <w:p w:rsidR="00000000" w:rsidDel="00000000" w:rsidP="00000000" w:rsidRDefault="00000000" w:rsidRPr="00000000" w14:paraId="00000036">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informacja będzie przekazana Użytkownikowi e-mailem lub w Panelu Użytkownika w Aplikacji (jak zdefiniowano w Regulaminie);</w:t>
      </w:r>
    </w:p>
    <w:p w:rsidR="00000000" w:rsidDel="00000000" w:rsidP="00000000" w:rsidRDefault="00000000" w:rsidRPr="00000000" w14:paraId="00000037">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może wyrazić sprzeciw (dalej „Sprzeciw”) wobec takiego nowego Innego Podmiotu Przetwarzającego. Użytkownik ma świadomość, że wyrażenie Sprzeciwu może mieć wpływ na zmianę sposobu świadczenia na jego rzecz Usług, wiązać się z koniecznością ograniczenia ich zakresu, a nawet wypowiedzenia Umowy Podstawowej. </w:t>
      </w:r>
    </w:p>
    <w:p w:rsidR="00000000" w:rsidDel="00000000" w:rsidP="00000000" w:rsidRDefault="00000000" w:rsidRPr="00000000" w14:paraId="00000038">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bookmarkStart w:colFirst="0" w:colLast="0" w:name="_heading=h.2et92p0" w:id="5"/>
      <w:bookmarkEnd w:id="5"/>
      <w:r w:rsidDel="00000000" w:rsidR="00000000" w:rsidRPr="00000000">
        <w:rPr>
          <w:rFonts w:ascii="Montserrat Light" w:cs="Montserrat Light" w:eastAsia="Montserrat Light" w:hAnsi="Montserrat Light"/>
          <w:color w:val="000000"/>
          <w:sz w:val="22"/>
          <w:szCs w:val="22"/>
          <w:rtl w:val="0"/>
        </w:rPr>
        <w:t xml:space="preserve">W przypadku wypowiedzenia Umowy Podstawowej zgodnie z punktem poprzednim Użytkownik zobowiązany będzie do zapłaty wynagrodzenia za Usługę do zakończenia okresu abonamentowego, w którym następuje wypowiedzenie. W przypadku rozwiązania Umowy Podstawowej na zasadach opisanych powyżej Użytkownikowi nie przysługują względem Usługodawcy, żadne roszczenia, w tym odszkodowawcze.</w:t>
      </w:r>
    </w:p>
    <w:p w:rsidR="00000000" w:rsidDel="00000000" w:rsidP="00000000" w:rsidRDefault="00000000" w:rsidRPr="00000000" w14:paraId="00000039">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 Inny Podmiot Przetwarzający w drodze umowy zawartej pomiędzy tym podmiotem, a Usługodawcą, nałożone zostaną te same obowiązki ochrony danych jak wynikające z Umowy, w szczególności obowiązek zapewnienia wystarczających gwarancji wdrożenia odpowiednich środków technicznych i organizacyjnych ochrony danych, z wyjątkiem tych, które nie znajdą zastosowania ze względu na naturę konkretnego dalszego powierzenia. </w:t>
      </w:r>
    </w:p>
    <w:p w:rsidR="00000000" w:rsidDel="00000000" w:rsidP="00000000" w:rsidRDefault="00000000" w:rsidRPr="00000000" w14:paraId="0000003A">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Jeżeli Inny Podmiot Przetwarzający nie wywiąże się ze spoczywających na nim obowiązków ochrony danych, odpowiedzialność wobec Użytkownika za wypełnienie obowiązków tego Innego Podmiotu Przetwarzającego spoczywa na Usługodawcy.</w:t>
      </w:r>
    </w:p>
    <w:p w:rsidR="00000000" w:rsidDel="00000000" w:rsidP="00000000" w:rsidRDefault="00000000" w:rsidRPr="00000000" w14:paraId="0000003B">
      <w:pPr>
        <w:numPr>
          <w:ilvl w:val="0"/>
          <w:numId w:val="2"/>
        </w:numPr>
        <w:pBdr>
          <w:between w:space="0" w:sz="0" w:val="nil"/>
        </w:pBdr>
        <w:spacing w:after="120" w:line="288" w:lineRule="auto"/>
        <w:ind w:left="360" w:hanging="360"/>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Przekazywanie danych do państwa trzeciego</w:t>
      </w:r>
    </w:p>
    <w:p w:rsidR="00000000" w:rsidDel="00000000" w:rsidP="00000000" w:rsidRDefault="00000000" w:rsidRPr="00000000" w14:paraId="0000003C">
      <w:pPr>
        <w:numPr>
          <w:ilvl w:val="1"/>
          <w:numId w:val="2"/>
        </w:numPr>
        <w:pBdr>
          <w:between w:space="0" w:sz="0" w:val="nil"/>
        </w:pBdr>
        <w:spacing w:after="120" w:line="288" w:lineRule="auto"/>
        <w:ind w:left="792" w:hanging="43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wyraża zgodę na przekazywanie Danych Osobowych do  państwa trzeciego (tj. państwa spoza Europejskiego Obszaru Gospodarczego – dalej „Państwo Trzecie”),  w takim zakresie, w jakim odbywa się to w ramach realizacji Usług oraz  pod warunkiem, że przekazywanie Danych Osobowych do Państwa Trzeciego odbywa się zgodnie z wymaganiami i warunkami określonymi w RODO, w szczególności:</w:t>
      </w:r>
    </w:p>
    <w:p w:rsidR="00000000" w:rsidDel="00000000" w:rsidP="00000000" w:rsidRDefault="00000000" w:rsidRPr="00000000" w14:paraId="0000003D">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 podstawie decyzji Komisji Europejskiej stwierdzających odpowiedni stopień ochrony w Państwie Trzecim;</w:t>
      </w:r>
    </w:p>
    <w:p w:rsidR="00000000" w:rsidDel="00000000" w:rsidP="00000000" w:rsidRDefault="00000000" w:rsidRPr="00000000" w14:paraId="0000003E">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 podstawie standardowych klauzul umownych przyjętych przez Komisję Europejską,</w:t>
      </w:r>
    </w:p>
    <w:p w:rsidR="00000000" w:rsidDel="00000000" w:rsidP="00000000" w:rsidRDefault="00000000" w:rsidRPr="00000000" w14:paraId="0000003F">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Oświadczenia i zapewnienia</w:t>
      </w:r>
    </w:p>
    <w:p w:rsidR="00000000" w:rsidDel="00000000" w:rsidP="00000000" w:rsidRDefault="00000000" w:rsidRPr="00000000" w14:paraId="00000040">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 przyjmuje do wiadomości i akceptuje, że podczas korzystania z Serwisów Internetowych Użytkownik (lub odpowiednio Klient Użytkownika) może być uznany za administratora danych Użytkowników Końcowych Serwisów Internetowych (również wówczas, gdy operator takiego Serwisu Internetowego jest równolegle administratorem tych danych) – zależnie od tego, w jaki sposób Użytkownik (lub odpowiednio Klient Użytkownika) korzysta z tych Serwisów Internetowych. W szczególności może to dotyczyć danych Użytkowników Końcowych, z którymi Użytkownik się kontaktuje (we własnym imieniu lub w imieniu Klienta Użytkownika), którzy kontaktują się z nim (lub odpowiednio z Klientem Użytkownika) w ramach tych serwisów lub korzystają ze stron i profili zarządzanych przez Użytkownika (lub odpowiednio Klienta Użytkownika);</w:t>
      </w:r>
    </w:p>
    <w:p w:rsidR="00000000" w:rsidDel="00000000" w:rsidP="00000000" w:rsidRDefault="00000000" w:rsidRPr="00000000" w14:paraId="00000041">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Na potrzeby niniejszej Umowy oraz Umowy Podstawowej Strony postanawiają, a Użytkownik oświadcza i potwierdza, że Użytkownik jest:</w:t>
      </w:r>
      <w:r w:rsidDel="00000000" w:rsidR="00000000" w:rsidRPr="00000000">
        <w:rPr>
          <w:rtl w:val="0"/>
        </w:rPr>
      </w:r>
    </w:p>
    <w:p w:rsidR="00000000" w:rsidDel="00000000" w:rsidP="00000000" w:rsidRDefault="00000000" w:rsidRPr="00000000" w14:paraId="00000042">
      <w:pPr>
        <w:numPr>
          <w:ilvl w:val="2"/>
          <w:numId w:val="2"/>
        </w:numPr>
        <w:pBdr>
          <w:between w:space="0" w:sz="0" w:val="nil"/>
        </w:pBdr>
        <w:spacing w:after="120" w:line="288" w:lineRule="auto"/>
        <w:ind w:left="1224" w:hanging="504.00000000000006"/>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administratorem wszelkich Danych Osobowych, które powierza Usługodawcy do przetwarzania – w przypadku Użytkownika działającego na własną rzecz podczas korzystania z Usług;</w:t>
      </w:r>
      <w:r w:rsidDel="00000000" w:rsidR="00000000" w:rsidRPr="00000000">
        <w:rPr>
          <w:rtl w:val="0"/>
        </w:rPr>
      </w:r>
    </w:p>
    <w:p w:rsidR="00000000" w:rsidDel="00000000" w:rsidP="00000000" w:rsidRDefault="00000000" w:rsidRPr="00000000" w14:paraId="00000043">
      <w:pPr>
        <w:numPr>
          <w:ilvl w:val="2"/>
          <w:numId w:val="2"/>
        </w:numPr>
        <w:pBdr>
          <w:between w:space="0" w:sz="0" w:val="nil"/>
        </w:pBdr>
        <w:spacing w:after="120" w:line="288" w:lineRule="auto"/>
        <w:ind w:left="1224" w:hanging="504.00000000000006"/>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podmiotem przetwarzającym Dane Osobowe na polecenie Klienta Użytkownika (będącego administratorem danych), i że Użytkownik jest uprawniony do dalszego powierzenia przetwarzania Danych Osobowych Usługodawcy – w przypadku Użytkownika działającego na zlecenie lub na rzecz swojego Klienta podczas korzystania z Usług.</w:t>
      </w:r>
      <w:r w:rsidDel="00000000" w:rsidR="00000000" w:rsidRPr="00000000">
        <w:rPr>
          <w:rtl w:val="0"/>
        </w:rPr>
      </w:r>
    </w:p>
    <w:p w:rsidR="00000000" w:rsidDel="00000000" w:rsidP="00000000" w:rsidRDefault="00000000" w:rsidRPr="00000000" w14:paraId="00000044">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Użytkownik oświadcza i zapewnia, że jest odpowiedzialny za zapewnienie zgodności przetwarzania Danych Osobowych przez Użytkownika (w tym w ramach Usług) zgodnie z obowiązującymi przepisami i zobowiązuje się tę zgodność zapewnić, w szczególności zobowiązany jest do powierzenia Usługodawcy wyłącznie takich danych: </w:t>
      </w:r>
      <w:r w:rsidDel="00000000" w:rsidR="00000000" w:rsidRPr="00000000">
        <w:rPr>
          <w:rtl w:val="0"/>
        </w:rPr>
      </w:r>
    </w:p>
    <w:p w:rsidR="00000000" w:rsidDel="00000000" w:rsidP="00000000" w:rsidRDefault="00000000" w:rsidRPr="00000000" w14:paraId="00000045">
      <w:pPr>
        <w:numPr>
          <w:ilvl w:val="2"/>
          <w:numId w:val="2"/>
        </w:numPr>
        <w:pBdr>
          <w:between w:space="0" w:sz="0" w:val="nil"/>
        </w:pBdr>
        <w:spacing w:after="120" w:line="288" w:lineRule="auto"/>
        <w:ind w:left="1224" w:hanging="504.00000000000006"/>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co do których ma ważną podstawę prawną przetwarzania (jeśli jest administratorem danych) lub </w:t>
      </w:r>
      <w:r w:rsidDel="00000000" w:rsidR="00000000" w:rsidRPr="00000000">
        <w:rPr>
          <w:rtl w:val="0"/>
        </w:rPr>
      </w:r>
    </w:p>
    <w:p w:rsidR="00000000" w:rsidDel="00000000" w:rsidP="00000000" w:rsidRDefault="00000000" w:rsidRPr="00000000" w14:paraId="00000046">
      <w:pPr>
        <w:numPr>
          <w:ilvl w:val="2"/>
          <w:numId w:val="2"/>
        </w:numPr>
        <w:pBdr>
          <w:between w:space="0" w:sz="0" w:val="nil"/>
        </w:pBdr>
        <w:spacing w:after="120" w:line="288" w:lineRule="auto"/>
        <w:ind w:left="1224" w:hanging="504.00000000000006"/>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co do których jest uprawniony, jako podmiot przetwarzający dane w imieniu swojego Klienta, do dalszego ich powierzenia Usługodawcy, Innym Podmiotom Przetwarzającym, w tym do Państwa Trzeciego, </w:t>
      </w:r>
      <w:r w:rsidDel="00000000" w:rsidR="00000000" w:rsidRPr="00000000">
        <w:rPr>
          <w:rtl w:val="0"/>
        </w:rPr>
      </w:r>
    </w:p>
    <w:p w:rsidR="00000000" w:rsidDel="00000000" w:rsidP="00000000" w:rsidRDefault="00000000" w:rsidRPr="00000000" w14:paraId="00000047">
      <w:pPr>
        <w:pBdr>
          <w:between w:space="0" w:sz="0" w:val="nil"/>
        </w:pBdr>
        <w:spacing w:after="120" w:line="288" w:lineRule="auto"/>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 także zobowiązany jest spełnić wszelkie przewidziane przepisami obowiązki informacyjne wobec osób, których dane dotyczą, o ile obowiązki te mają zastosowanie.</w:t>
      </w:r>
    </w:p>
    <w:p w:rsidR="00000000" w:rsidDel="00000000" w:rsidP="00000000" w:rsidRDefault="00000000" w:rsidRPr="00000000" w14:paraId="00000048">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W przypadku podjęcia przez osobę trzecią działań prawnych wobec Usługodawcy lub Użytkownika, związanych z naruszeniem zasad przetwarzania Danych Osobowych, Strony będą współpracować w celu podjęcia stosownych kroków prawnych zmierzających w szczególności do oddalenia bądź odrzucenia przez właściwy sąd roszczeń osoby trzeciej, wniesienia środka odwoławczego lub zawarcia ugody jak również innych działań prawnych.</w:t>
      </w:r>
      <w:r w:rsidDel="00000000" w:rsidR="00000000" w:rsidRPr="00000000">
        <w:rPr>
          <w:rtl w:val="0"/>
        </w:rPr>
      </w:r>
    </w:p>
    <w:p w:rsidR="00000000" w:rsidDel="00000000" w:rsidP="00000000" w:rsidRDefault="00000000" w:rsidRPr="00000000" w14:paraId="00000049">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Niniejsza Umowa nie zmienia zasad odpowiedzialności (w tym ograniczeń odpowiedzialności) przewidzianych w Umowie Podstawowej.</w:t>
      </w:r>
      <w:r w:rsidDel="00000000" w:rsidR="00000000" w:rsidRPr="00000000">
        <w:rPr>
          <w:rtl w:val="0"/>
        </w:rPr>
      </w:r>
    </w:p>
    <w:p w:rsidR="00000000" w:rsidDel="00000000" w:rsidP="00000000" w:rsidRDefault="00000000" w:rsidRPr="00000000" w14:paraId="0000004A">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Tryb zawarcia Umowy</w:t>
      </w:r>
      <w:r w:rsidDel="00000000" w:rsidR="00000000" w:rsidRPr="00000000">
        <w:rPr>
          <w:rtl w:val="0"/>
        </w:rPr>
      </w:r>
    </w:p>
    <w:p w:rsidR="00000000" w:rsidDel="00000000" w:rsidP="00000000" w:rsidRDefault="00000000" w:rsidRPr="00000000" w14:paraId="0000004B">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Zawarcie Umowy następuje poprzez akceptację Regulaminu, którego Umowa jest integralną częścią. W celu zawarcia Umowy Użytkownik zaznacza odpowiednie okno wyboru osobiście (w przypadku Użytkownika będącego osobą fizyczną) lub przez Pracownika (jak zdefiniowano w Regulaminie) upoważnionego przez Użytkownik.</w:t>
      </w:r>
      <w:r w:rsidDel="00000000" w:rsidR="00000000" w:rsidRPr="00000000">
        <w:rPr>
          <w:rtl w:val="0"/>
        </w:rPr>
      </w:r>
    </w:p>
    <w:p w:rsidR="00000000" w:rsidDel="00000000" w:rsidP="00000000" w:rsidRDefault="00000000" w:rsidRPr="00000000" w14:paraId="0000004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W przypadku zawarcia Umowy przez Pracownika w imieniu Użytkownika:</w:t>
      </w:r>
      <w:r w:rsidDel="00000000" w:rsidR="00000000" w:rsidRPr="00000000">
        <w:rPr>
          <w:rtl w:val="0"/>
        </w:rPr>
      </w:r>
    </w:p>
    <w:p w:rsidR="00000000" w:rsidDel="00000000" w:rsidP="00000000" w:rsidRDefault="00000000" w:rsidRPr="00000000" w14:paraId="0000004D">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Pracownik oraz Użytkownik oświadczają, że Pracownik jest upoważniony do zawarcia niniejszej Umowy w imieniu Użytkownika;</w:t>
      </w:r>
      <w:r w:rsidDel="00000000" w:rsidR="00000000" w:rsidRPr="00000000">
        <w:rPr>
          <w:rtl w:val="0"/>
        </w:rPr>
      </w:r>
    </w:p>
    <w:p w:rsidR="00000000" w:rsidDel="00000000" w:rsidP="00000000" w:rsidRDefault="00000000" w:rsidRPr="00000000" w14:paraId="0000004E">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na żądanie Usługodawcy Pracownik oraz Użytkownik zobowiązani są do przedstawienia dowodu upoważnienia;</w:t>
      </w:r>
      <w:r w:rsidDel="00000000" w:rsidR="00000000" w:rsidRPr="00000000">
        <w:rPr>
          <w:rtl w:val="0"/>
        </w:rPr>
      </w:r>
    </w:p>
    <w:p w:rsidR="00000000" w:rsidDel="00000000" w:rsidP="00000000" w:rsidRDefault="00000000" w:rsidRPr="00000000" w14:paraId="0000004F">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Pracownik ponosi pełną odpowiedzialność wobec Usługodawcy na wypadek, zawarcia niniejszej Umowy bez stosownego upoważnienia od Użytkownika.</w:t>
      </w:r>
      <w:r w:rsidDel="00000000" w:rsidR="00000000" w:rsidRPr="00000000">
        <w:rPr>
          <w:rtl w:val="0"/>
        </w:rPr>
      </w:r>
    </w:p>
    <w:p w:rsidR="00000000" w:rsidDel="00000000" w:rsidP="00000000" w:rsidRDefault="00000000" w:rsidRPr="00000000" w14:paraId="00000050">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Na wyraźne życzenie Użytkownika, zawarcie Umowy może nastąpić w formie pisemnej lub poprzez wymianę przez Strony pocztą elektroniczną skanów egzemplarzy Umowy podpisanych przez obie Strony lub w inny sposób uzgodniony przez Strony. </w:t>
      </w:r>
      <w:r w:rsidDel="00000000" w:rsidR="00000000" w:rsidRPr="00000000">
        <w:rPr>
          <w:rtl w:val="0"/>
        </w:rPr>
      </w:r>
    </w:p>
    <w:p w:rsidR="00000000" w:rsidDel="00000000" w:rsidP="00000000" w:rsidRDefault="00000000" w:rsidRPr="00000000" w14:paraId="00000051">
      <w:pPr>
        <w:keepNext w:val="1"/>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Postanowienia końcowe</w:t>
      </w:r>
      <w:r w:rsidDel="00000000" w:rsidR="00000000" w:rsidRPr="00000000">
        <w:rPr>
          <w:rtl w:val="0"/>
        </w:rPr>
      </w:r>
    </w:p>
    <w:p w:rsidR="00000000" w:rsidDel="00000000" w:rsidP="00000000" w:rsidRDefault="00000000" w:rsidRPr="00000000" w14:paraId="00000052">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Umowa zostaje zawarta na czas obowiązywania Umowy Podstawowej.</w:t>
      </w:r>
      <w:r w:rsidDel="00000000" w:rsidR="00000000" w:rsidRPr="00000000">
        <w:rPr>
          <w:rtl w:val="0"/>
        </w:rPr>
      </w:r>
    </w:p>
    <w:p w:rsidR="00000000" w:rsidDel="00000000" w:rsidP="00000000" w:rsidRDefault="00000000" w:rsidRPr="00000000" w14:paraId="00000053">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W sprawach nieuregulowanych odmiennie w Umowie stosuje się postanowienia Umowy Podstawowej lub Regulaminu.  </w:t>
      </w:r>
      <w:r w:rsidDel="00000000" w:rsidR="00000000" w:rsidRPr="00000000">
        <w:rPr>
          <w:rtl w:val="0"/>
        </w:rPr>
      </w:r>
    </w:p>
    <w:p w:rsidR="00000000" w:rsidDel="00000000" w:rsidP="00000000" w:rsidRDefault="00000000" w:rsidRPr="00000000" w14:paraId="00000054">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Zmiany, rozwiązanie lub wypowiedzenie Umowy wymagają zachowania formy pisemnej lub dokumentowej pod rygorem nieważności.</w:t>
      </w:r>
      <w:r w:rsidDel="00000000" w:rsidR="00000000" w:rsidRPr="00000000">
        <w:rPr>
          <w:rtl w:val="0"/>
        </w:rPr>
      </w:r>
    </w:p>
    <w:p w:rsidR="00000000" w:rsidDel="00000000" w:rsidP="00000000" w:rsidRDefault="00000000" w:rsidRPr="00000000" w14:paraId="00000055">
      <w:pPr>
        <w:pBdr>
          <w:between w:space="0" w:sz="0" w:val="nil"/>
        </w:pBdr>
        <w:spacing w:after="120" w:line="288" w:lineRule="auto"/>
        <w:jc w:val="both"/>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56">
      <w:pPr>
        <w:pBdr>
          <w:between w:space="0" w:sz="0" w:val="nil"/>
        </w:pBdr>
        <w:spacing w:after="120" w:line="288" w:lineRule="auto"/>
        <w:jc w:val="both"/>
        <w:rPr>
          <w:rFonts w:ascii="Montserrat Light" w:cs="Montserrat Light" w:eastAsia="Montserrat Light" w:hAnsi="Montserrat Light"/>
          <w:i w:val="1"/>
          <w:color w:val="000000"/>
          <w:sz w:val="18"/>
          <w:szCs w:val="18"/>
        </w:rPr>
      </w:pPr>
      <w:r w:rsidDel="00000000" w:rsidR="00000000" w:rsidRPr="00000000">
        <w:rPr>
          <w:rFonts w:ascii="Montserrat Light" w:cs="Montserrat Light" w:eastAsia="Montserrat Light" w:hAnsi="Montserrat Light"/>
          <w:i w:val="1"/>
          <w:color w:val="000000"/>
          <w:sz w:val="21"/>
          <w:szCs w:val="21"/>
          <w:rtl w:val="0"/>
        </w:rPr>
        <w:t xml:space="preserve">Załącznik nr 1 do Umowy - Szczegółowy przedmiot, charakter i cel przetwarzania, rodzaj danych osobowych oraz kategorie osób, których dane dotyczą stanowi jej integralną część.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Montserrat Light" w:cs="Montserrat Light" w:eastAsia="Montserrat Light" w:hAnsi="Montserrat Light"/>
          <w:color w:val="333333"/>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288" w:lineRule="auto"/>
        <w:jc w:val="center"/>
        <w:rPr>
          <w:rFonts w:ascii="Montserrat Light" w:cs="Montserrat Light" w:eastAsia="Montserrat Light" w:hAnsi="Montserrat Light"/>
          <w:b w:val="1"/>
          <w:color w:val="000000"/>
          <w:sz w:val="22"/>
          <w:szCs w:val="22"/>
        </w:rPr>
      </w:pPr>
      <w:r w:rsidDel="00000000" w:rsidR="00000000" w:rsidRPr="00000000">
        <w:rPr>
          <w:rFonts w:ascii="Montserrat Light" w:cs="Montserrat Light" w:eastAsia="Montserrat Light" w:hAnsi="Montserrat Light"/>
          <w:b w:val="1"/>
          <w:color w:val="000000"/>
          <w:sz w:val="22"/>
          <w:szCs w:val="22"/>
          <w:rtl w:val="0"/>
        </w:rPr>
        <w:t xml:space="preserve">Załącznik nr 1 do Umowy o powierzenie przetwarzania danych osobowych</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288" w:lineRule="auto"/>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b w:val="1"/>
          <w:color w:val="000000"/>
          <w:sz w:val="22"/>
          <w:szCs w:val="22"/>
          <w:rtl w:val="0"/>
        </w:rPr>
        <w:t xml:space="preserve">Szczegółowy przedmiot, charakter i cel przetwarzania, rodzaj danych osobowych oraz kategorie osób, których dane dotyczą</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Powierzenie następuje w celu wykonywania przez Usługodawcę świadczeń na rzecz Użytkownika, w ramach Współpracy na podstawie Umowy Podstawowej (jak zdefiniowano w Umowie), polegających dostarczeniu narzędzi do marketingu i komunikacji w mediach społecznościowych (Serwisach Internetowych), w tym w szczególności:</w:t>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narzędzi usprawniających zarządzanie obecnością Użytkownika (lub odpowiednio Klienta Użytkownika) w mediach społecznościowych, w tym zarządzania profilami, fanpage’ami etc., </w:t>
      </w:r>
    </w:p>
    <w:p w:rsidR="00000000" w:rsidDel="00000000" w:rsidP="00000000" w:rsidRDefault="00000000" w:rsidRPr="00000000" w14:paraId="0000005F">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narzędzi usprawniających komunikację z Użytkownikami Końcowymi w tych mediach (np. publikowanie postów, odpowiadanie na komentarze etc.);</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narzędzi do komunikacji bezpośredniej między Użytkownikiem (lub odpowiednio Klientem Użytkownika) a Użytkownikami Końcowymi w platformach komunikacji bezpośredniej (np. Facebook Messenger);</w:t>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narzędzi do prowadzenia analityki, monitorowania i dostarczania statystyk dotyczących stron i profili Użytkownika (lub odpowiednio Klienta Użytkownika) w mediach społecznościowych;</w:t>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narzędzi do prowadzenia analityki, monitorowania i dostarczania statystyk dotyczących stron i profili w mediach społecznościowych, nie należących do Użytkownika (ani Klienta Użytkownika), a które są analizowane przez Usługodawcę na zlecenie Użytkownika. </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Powierzenie może dotyczyć danych osobowych:</w:t>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Użytkowników Końcowych którzy wchodzą w jakąkolwiek interakcję z Użytkownikiem (lub odpowiednio Klientem Użytkownika, za pośrednictwem Użytkownika), lub do których Użytkownik (lub odpowiednio Klient Użytkownika) kieruje komunikację, w Serwisach Internetowych obsługiwanych w ramach Usług, </w:t>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Użytkowników Końcowych i innych osób fizycznych, których dane osobowe znajdują się na stronach i profilach w mediach społecznościowych monitorowanych przez Usługodawcę na zlecenie Użytkownika, innych niż strony i profile Użytkownika (lub odpowiednio Klienta Użytkownika). </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Przetwarzanie może dotyczyć następujących danych – zależnie od tego, jakie dane znajdują się w mediach społecznościowych objętych Usługami: </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imię, nazwisko, pseudonim lub inne dane identyfikujące Użytkownika Końcowego w Serwisie Internetowym, zdjęcie lub grafika identyfikujące Użytkownika w Serwisie Internetowym, w tym mogące zawierać wizerunek Użytkownika Końcowego;</w:t>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przetwarzanie może dotyczyć też danych nieustrukturyzowanych, takich jak treści generowane przez osoby, o których mowa powyżej, o potencjalnej i prawdopodobnej zawartości danych osobowych (np. wpisy, komentarze, posty w mediach społecznościowych, dokumenty tekstowe, obrazy, nagrania, filmy)</w:t>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treść korespondencji lub innej komunikacji między Użytkownikiem Końcowym a Użytkownikiem (lub odpowiednio Klientem Użytkownika) w Serwisach Internetowych, w tym w platformach komunikacji bezpośredniej (np. Facebook Messenger).</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Szczegółowy zakres przetwarzanych danych będzie zależał każdorazowo od zakresu Usług Usługodawcy, świadczonych w ramach Współpracy.</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Powierzenie przetwarzania Danych Osobowych może obejmować następujące czynności: zbieranie, utrwalanie, organizowanie, porządkowanie, przechowywanie, adaptowanie, pobieranie, przeglądanie, wykorzystywanie, ujawnianie poprzez przesłanie, rozpowszechnianie lub innego rodzaju udostępnianie, dopasowywanie lub łączenie, ograniczanie, usuwanie lub niszczenie.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line="288" w:lineRule="auto"/>
        <w:ind w:left="360" w:firstLine="0"/>
        <w:jc w:val="both"/>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6E">
      <w:pPr>
        <w:pBdr>
          <w:between w:space="0" w:sz="0" w:val="nil"/>
        </w:pBdr>
        <w:spacing w:after="120" w:line="288" w:lineRule="auto"/>
        <w:rPr>
          <w:rFonts w:ascii="Montserrat Light" w:cs="Montserrat Light" w:eastAsia="Montserrat Light" w:hAnsi="Montserrat Light"/>
          <w:sz w:val="22"/>
          <w:szCs w:val="22"/>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between w:space="0" w:sz="0" w:val="nil"/>
      </w:pBdr>
      <w:tabs>
        <w:tab w:val="center" w:leader="none" w:pos="4536"/>
        <w:tab w:val="right" w:leader="none" w:pos="9072"/>
      </w:tabs>
      <w:spacing w:after="160" w:line="252.00000000000003" w:lineRule="auto"/>
      <w:jc w:val="center"/>
      <w:rPr>
        <w:rFonts w:ascii="Montserrat Light" w:cs="Montserrat Light" w:eastAsia="Montserrat Light" w:hAnsi="Montserrat Light"/>
        <w:color w:val="808080"/>
        <w:sz w:val="16"/>
        <w:szCs w:val="16"/>
      </w:rPr>
    </w:pPr>
    <w:r w:rsidDel="00000000" w:rsidR="00000000" w:rsidRPr="00000000">
      <w:rPr>
        <w:rFonts w:ascii="Montserrat Light" w:cs="Montserrat Light" w:eastAsia="Montserrat Light" w:hAnsi="Montserrat Light"/>
        <w:color w:val="808080"/>
        <w:sz w:val="16"/>
        <w:szCs w:val="16"/>
        <w:rtl w:val="0"/>
      </w:rPr>
      <w:t xml:space="preserve">Umowa powierzenia przetwarzania danych osobowych</w:t>
    </w:r>
  </w:p>
  <w:p w:rsidR="00000000" w:rsidDel="00000000" w:rsidP="00000000" w:rsidRDefault="00000000" w:rsidRPr="00000000" w14:paraId="00000072">
    <w:pPr>
      <w:pBdr>
        <w:between w:space="0" w:sz="0" w:val="nil"/>
      </w:pBdr>
      <w:tabs>
        <w:tab w:val="center" w:leader="none" w:pos="4536"/>
        <w:tab w:val="right" w:leader="none" w:pos="9072"/>
      </w:tabs>
      <w:spacing w:after="160" w:line="252.00000000000003" w:lineRule="auto"/>
      <w:jc w:val="right"/>
      <w:rPr>
        <w:rFonts w:ascii="Montserrat Light" w:cs="Montserrat Light" w:eastAsia="Montserrat Light" w:hAnsi="Montserrat Light"/>
        <w:color w:val="808080"/>
        <w:sz w:val="16"/>
        <w:szCs w:val="16"/>
      </w:rPr>
    </w:pPr>
    <w:r w:rsidDel="00000000" w:rsidR="00000000" w:rsidRPr="00000000">
      <w:rPr>
        <w:rFonts w:ascii="Montserrat Light" w:cs="Montserrat Light" w:eastAsia="Montserrat Light" w:hAnsi="Montserrat Light"/>
        <w:color w:val="808080"/>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between w:space="0" w:sz="0" w:val="nil"/>
      </w:pBdr>
      <w:tabs>
        <w:tab w:val="center" w:leader="none" w:pos="4536"/>
        <w:tab w:val="right" w:leader="none" w:pos="9072"/>
      </w:tabs>
      <w:rPr>
        <w:rFonts w:ascii="Calibri" w:cs="Calibri" w:eastAsia="Calibri" w:hAnsi="Calibri"/>
        <w:color w:val="000000"/>
      </w:rPr>
    </w:pPr>
    <w:r w:rsidDel="00000000" w:rsidR="00000000" w:rsidRPr="00000000">
      <w:rPr/>
      <w:drawing>
        <wp:inline distB="0" distT="0" distL="0" distR="0">
          <wp:extent cx="1296041" cy="269576"/>
          <wp:effectExtent b="0" l="0" r="0" t="0"/>
          <wp:docPr descr="A picture containing logo&#10;&#10;Description automatically generated" id="5"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1296041" cy="2695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2.%3."/>
      <w:lvlJc w:val="right"/>
      <w:pPr>
        <w:ind w:left="2509" w:hanging="180"/>
      </w:pPr>
      <w:rPr>
        <w:vertAlign w:val="baseline"/>
      </w:rPr>
    </w:lvl>
    <w:lvl w:ilvl="3">
      <w:start w:val="1"/>
      <w:numFmt w:val="decimal"/>
      <w:lvlText w:val="%2.%3.%4."/>
      <w:lvlJc w:val="left"/>
      <w:pPr>
        <w:ind w:left="3229" w:hanging="360"/>
      </w:pPr>
      <w:rPr>
        <w:vertAlign w:val="baseline"/>
      </w:rPr>
    </w:lvl>
    <w:lvl w:ilvl="4">
      <w:start w:val="1"/>
      <w:numFmt w:val="lowerLetter"/>
      <w:lvlText w:val="%2.%3.%4.%5."/>
      <w:lvlJc w:val="left"/>
      <w:pPr>
        <w:ind w:left="3949" w:hanging="360"/>
      </w:pPr>
      <w:rPr>
        <w:vertAlign w:val="baseline"/>
      </w:rPr>
    </w:lvl>
    <w:lvl w:ilvl="5">
      <w:start w:val="1"/>
      <w:numFmt w:val="lowerRoman"/>
      <w:lvlText w:val="%2.%3.%4.%5.%6."/>
      <w:lvlJc w:val="right"/>
      <w:pPr>
        <w:ind w:left="4669" w:hanging="180"/>
      </w:pPr>
      <w:rPr>
        <w:vertAlign w:val="baseline"/>
      </w:rPr>
    </w:lvl>
    <w:lvl w:ilvl="6">
      <w:start w:val="1"/>
      <w:numFmt w:val="decimal"/>
      <w:lvlText w:val="%2.%3.%4.%5.%6.%7."/>
      <w:lvlJc w:val="left"/>
      <w:pPr>
        <w:ind w:left="5389" w:hanging="360"/>
      </w:pPr>
      <w:rPr>
        <w:vertAlign w:val="baseline"/>
      </w:rPr>
    </w:lvl>
    <w:lvl w:ilvl="7">
      <w:start w:val="1"/>
      <w:numFmt w:val="lowerLetter"/>
      <w:lvlText w:val="%2.%3.%4.%5.%6.%7.%8."/>
      <w:lvlJc w:val="left"/>
      <w:pPr>
        <w:ind w:left="6109" w:hanging="360"/>
      </w:pPr>
      <w:rPr>
        <w:vertAlign w:val="baseline"/>
      </w:rPr>
    </w:lvl>
    <w:lvl w:ilvl="8">
      <w:start w:val="1"/>
      <w:numFmt w:val="lowerRoman"/>
      <w:lvlText w:val="%2.%3.%4.%5.%6.%7.%8.%9."/>
      <w:lvlJc w:val="right"/>
      <w:pPr>
        <w:ind w:left="6829" w:hanging="180"/>
      </w:pPr>
      <w:rPr>
        <w:vertAlign w:val="baseline"/>
      </w:rPr>
    </w:lvl>
  </w:abstractNum>
  <w:abstractNum w:abstractNumId="2">
    <w:lvl w:ilvl="0">
      <w:start w:val="1"/>
      <w:numFmt w:val="decimal"/>
      <w:lvlText w:val="%1."/>
      <w:lvlJc w:val="left"/>
      <w:pPr>
        <w:ind w:left="360" w:hanging="360"/>
      </w:pPr>
      <w:rPr>
        <w:b w:val="1"/>
        <w:sz w:val="20"/>
        <w:szCs w:val="20"/>
        <w:vertAlign w:val="baseline"/>
      </w:rPr>
    </w:lvl>
    <w:lvl w:ilvl="1">
      <w:start w:val="1"/>
      <w:numFmt w:val="decimal"/>
      <w:lvlText w:val="%1.%2."/>
      <w:lvlJc w:val="left"/>
      <w:pPr>
        <w:ind w:left="792" w:hanging="432"/>
      </w:pPr>
      <w:rPr>
        <w:b w:val="0"/>
        <w:i w:val="0"/>
        <w:sz w:val="20"/>
        <w:szCs w:val="20"/>
        <w:vertAlign w:val="baseline"/>
      </w:rPr>
    </w:lvl>
    <w:lvl w:ilvl="2">
      <w:start w:val="1"/>
      <w:numFmt w:val="decimal"/>
      <w:lvlText w:val="%1.%2.%3."/>
      <w:lvlJc w:val="left"/>
      <w:pPr>
        <w:ind w:left="1224" w:hanging="504"/>
      </w:pPr>
      <w:rPr>
        <w:sz w:val="20"/>
        <w:szCs w:val="20"/>
        <w:vertAlign w:val="baseline"/>
      </w:rPr>
    </w:lvl>
    <w:lvl w:ilvl="3">
      <w:start w:val="1"/>
      <w:numFmt w:val="decimal"/>
      <w:lvlText w:val="%1.%2.%3.%4."/>
      <w:lvlJc w:val="left"/>
      <w:pPr>
        <w:ind w:left="1728" w:hanging="647"/>
      </w:pPr>
      <w:rPr>
        <w:sz w:val="20"/>
        <w:szCs w:val="20"/>
        <w:vertAlign w:val="baseline"/>
      </w:rPr>
    </w:lvl>
    <w:lvl w:ilvl="4">
      <w:start w:val="1"/>
      <w:numFmt w:val="decimal"/>
      <w:lvlText w:val="%1.%2.%3.%4.%5."/>
      <w:lvlJc w:val="left"/>
      <w:pPr>
        <w:ind w:left="2232" w:hanging="792"/>
      </w:pPr>
      <w:rPr>
        <w:sz w:val="20"/>
        <w:szCs w:val="20"/>
        <w:vertAlign w:val="baseline"/>
      </w:rPr>
    </w:lvl>
    <w:lvl w:ilvl="5">
      <w:start w:val="1"/>
      <w:numFmt w:val="decimal"/>
      <w:lvlText w:val="%1.%2.%3.%4.%5.%6."/>
      <w:lvlJc w:val="left"/>
      <w:pPr>
        <w:ind w:left="2736" w:hanging="933"/>
      </w:pPr>
      <w:rPr>
        <w:sz w:val="20"/>
        <w:szCs w:val="20"/>
        <w:vertAlign w:val="baseline"/>
      </w:rPr>
    </w:lvl>
    <w:lvl w:ilvl="6">
      <w:start w:val="1"/>
      <w:numFmt w:val="decimal"/>
      <w:lvlText w:val="%1.%2.%3.%4.%5.%6.%7."/>
      <w:lvlJc w:val="left"/>
      <w:pPr>
        <w:ind w:left="3240" w:hanging="1080"/>
      </w:pPr>
      <w:rPr>
        <w:sz w:val="20"/>
        <w:szCs w:val="20"/>
        <w:vertAlign w:val="baseline"/>
      </w:rPr>
    </w:lvl>
    <w:lvl w:ilvl="7">
      <w:start w:val="1"/>
      <w:numFmt w:val="decimal"/>
      <w:lvlText w:val="%1.%2.%3.%4.%5.%6.%7.%8."/>
      <w:lvlJc w:val="left"/>
      <w:pPr>
        <w:ind w:left="3744" w:hanging="1224.0000000000005"/>
      </w:pPr>
      <w:rPr>
        <w:sz w:val="20"/>
        <w:szCs w:val="20"/>
        <w:vertAlign w:val="baseline"/>
      </w:rPr>
    </w:lvl>
    <w:lvl w:ilvl="8">
      <w:start w:val="1"/>
      <w:numFmt w:val="decimal"/>
      <w:lvlText w:val="%1.%2.%3.%4.%5.%6.%7.%8.%9."/>
      <w:lvlJc w:val="left"/>
      <w:pPr>
        <w:ind w:left="4320" w:hanging="1440"/>
      </w:pPr>
      <w:rPr>
        <w:sz w:val="20"/>
        <w:szCs w:val="20"/>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4827"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CommentText">
    <w:name w:val="annotation text"/>
    <w:basedOn w:val="Normal"/>
    <w:link w:val="CommentTextChar"/>
    <w:uiPriority w:val="99"/>
    <w:unhideWhenUsed w:val="1"/>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D42D2"/>
    <w:rPr>
      <w:sz w:val="18"/>
      <w:szCs w:val="18"/>
    </w:rPr>
  </w:style>
  <w:style w:type="character" w:styleId="BalloonTextChar" w:customStyle="1">
    <w:name w:val="Balloon Text Char"/>
    <w:basedOn w:val="DefaultParagraphFont"/>
    <w:link w:val="BalloonText"/>
    <w:uiPriority w:val="99"/>
    <w:semiHidden w:val="1"/>
    <w:rsid w:val="001D42D2"/>
    <w:rPr>
      <w:sz w:val="18"/>
      <w:szCs w:val="18"/>
    </w:rPr>
  </w:style>
  <w:style w:type="table" w:styleId="TableGrid">
    <w:name w:val="Table Grid"/>
    <w:basedOn w:val="TableNormal"/>
    <w:uiPriority w:val="39"/>
    <w:rsid w:val="001D42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0ED6"/>
    <w:pPr>
      <w:tabs>
        <w:tab w:val="center" w:pos="4513"/>
        <w:tab w:val="right" w:pos="9026"/>
      </w:tabs>
    </w:pPr>
  </w:style>
  <w:style w:type="character" w:styleId="HeaderChar" w:customStyle="1">
    <w:name w:val="Header Char"/>
    <w:basedOn w:val="DefaultParagraphFont"/>
    <w:link w:val="Header"/>
    <w:uiPriority w:val="99"/>
    <w:rsid w:val="00080ED6"/>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sid w:val="00DF24E2"/>
    <w:rPr>
      <w:b w:val="1"/>
      <w:bCs w:val="1"/>
    </w:rPr>
  </w:style>
  <w:style w:type="character" w:styleId="CommentSubjectChar" w:customStyle="1">
    <w:name w:val="Comment Subject Char"/>
    <w:basedOn w:val="CommentTextChar"/>
    <w:link w:val="CommentSubject"/>
    <w:uiPriority w:val="99"/>
    <w:semiHidden w:val="1"/>
    <w:rsid w:val="00DF24E2"/>
    <w:rPr>
      <w:b w:val="1"/>
      <w:bCs w:val="1"/>
    </w:rPr>
  </w:style>
  <w:style w:type="paragraph" w:styleId="Revision">
    <w:name w:val="Revision"/>
    <w:hidden w:val="1"/>
    <w:uiPriority w:val="99"/>
    <w:semiHidden w:val="1"/>
    <w:rsid w:val="00EF5A45"/>
  </w:style>
  <w:style w:type="paragraph" w:styleId="TOBH1" w:customStyle="1">
    <w:name w:val="TOB_H1"/>
    <w:basedOn w:val="Normal"/>
    <w:rsid w:val="000A0CDA"/>
    <w:pPr>
      <w:keepNext w:val="1"/>
      <w:keepLines w:val="1"/>
      <w:numPr>
        <w:numId w:val="6"/>
      </w:numPr>
      <w:spacing w:after="120" w:before="200"/>
    </w:pPr>
    <w:rPr>
      <w:rFonts w:ascii="Arial" w:hAnsi="Arial"/>
      <w:sz w:val="24"/>
      <w:szCs w:val="24"/>
      <w:lang w:eastAsia="en-GB" w:val="en-AU"/>
    </w:rPr>
  </w:style>
  <w:style w:type="paragraph" w:styleId="TOBH2" w:customStyle="1">
    <w:name w:val="TOB_H2"/>
    <w:basedOn w:val="Normal"/>
    <w:link w:val="TOBH2Char"/>
    <w:rsid w:val="000A0CDA"/>
    <w:pPr>
      <w:numPr>
        <w:ilvl w:val="1"/>
        <w:numId w:val="6"/>
      </w:numPr>
      <w:spacing w:after="120" w:before="120" w:line="200" w:lineRule="atLeast"/>
    </w:pPr>
    <w:rPr>
      <w:rFonts w:ascii="Arial" w:hAnsi="Arial"/>
      <w:sz w:val="18"/>
      <w:szCs w:val="24"/>
      <w:lang w:eastAsia="en-GB" w:val="en-AU"/>
    </w:rPr>
  </w:style>
  <w:style w:type="paragraph" w:styleId="TOBH3" w:customStyle="1">
    <w:name w:val="TOB_H3"/>
    <w:basedOn w:val="Normal"/>
    <w:rsid w:val="000A0CDA"/>
    <w:pPr>
      <w:numPr>
        <w:ilvl w:val="2"/>
        <w:numId w:val="6"/>
      </w:numPr>
      <w:spacing w:after="120" w:before="120" w:line="200" w:lineRule="atLeast"/>
    </w:pPr>
    <w:rPr>
      <w:rFonts w:ascii="Arial" w:hAnsi="Arial"/>
      <w:sz w:val="18"/>
      <w:szCs w:val="24"/>
      <w:lang w:eastAsia="en-GB" w:val="en-AU"/>
    </w:rPr>
  </w:style>
  <w:style w:type="numbering" w:styleId="TOBL1" w:customStyle="1">
    <w:name w:val="TOB_L1"/>
    <w:basedOn w:val="NoList"/>
    <w:rsid w:val="000A0CDA"/>
    <w:pPr>
      <w:numPr>
        <w:numId w:val="7"/>
      </w:numPr>
    </w:pPr>
  </w:style>
  <w:style w:type="paragraph" w:styleId="TOBI1" w:customStyle="1">
    <w:name w:val="TOB_I1"/>
    <w:basedOn w:val="Normal"/>
    <w:rsid w:val="000A0CDA"/>
    <w:pPr>
      <w:numPr>
        <w:ilvl w:val="3"/>
        <w:numId w:val="6"/>
      </w:numPr>
      <w:spacing w:after="120" w:before="120" w:line="200" w:lineRule="atLeast"/>
    </w:pPr>
    <w:rPr>
      <w:rFonts w:ascii="Arial" w:hAnsi="Arial"/>
      <w:sz w:val="18"/>
      <w:szCs w:val="24"/>
      <w:lang w:eastAsia="en-GB" w:val="en-AU"/>
    </w:rPr>
  </w:style>
  <w:style w:type="paragraph" w:styleId="TOBI2" w:customStyle="1">
    <w:name w:val="TOB_I2"/>
    <w:basedOn w:val="TOBI1"/>
    <w:rsid w:val="000A0CDA"/>
    <w:pPr>
      <w:numPr>
        <w:ilvl w:val="4"/>
      </w:numPr>
    </w:pPr>
  </w:style>
  <w:style w:type="paragraph" w:styleId="TOBI3" w:customStyle="1">
    <w:name w:val="TOB_I3"/>
    <w:basedOn w:val="TOBI2"/>
    <w:rsid w:val="000A0CDA"/>
    <w:pPr>
      <w:numPr>
        <w:ilvl w:val="5"/>
      </w:numPr>
    </w:pPr>
  </w:style>
  <w:style w:type="character" w:styleId="TOBH2Char" w:customStyle="1">
    <w:name w:val="TOB_H2 Char"/>
    <w:link w:val="TOBH2"/>
    <w:rsid w:val="000A0CDA"/>
    <w:rPr>
      <w:rFonts w:ascii="Arial" w:hAnsi="Arial"/>
      <w:sz w:val="18"/>
      <w:szCs w:val="24"/>
      <w:lang w:eastAsia="en-GB" w:val="en-AU"/>
    </w:rPr>
  </w:style>
  <w:style w:type="paragraph" w:styleId="ListParagraph">
    <w:name w:val="List Paragraph"/>
    <w:basedOn w:val="Normal"/>
    <w:link w:val="ListParagraphChar"/>
    <w:uiPriority w:val="34"/>
    <w:qFormat w:val="1"/>
    <w:rsid w:val="00DA3246"/>
    <w:pPr>
      <w:suppressAutoHyphens w:val="1"/>
      <w:spacing w:after="200" w:line="276" w:lineRule="auto"/>
      <w:ind w:left="720"/>
    </w:pPr>
    <w:rPr>
      <w:rFonts w:ascii="Calibri" w:hAnsi="Calibri"/>
      <w:sz w:val="22"/>
      <w:szCs w:val="22"/>
      <w:lang w:eastAsia="ar-SA"/>
    </w:rPr>
  </w:style>
  <w:style w:type="character" w:styleId="ListParagraphChar" w:customStyle="1">
    <w:name w:val="List Paragraph Char"/>
    <w:link w:val="ListParagraph"/>
    <w:uiPriority w:val="34"/>
    <w:rsid w:val="00DA3246"/>
    <w:rPr>
      <w:rFonts w:ascii="Calibri" w:hAnsi="Calibri"/>
      <w:sz w:val="22"/>
      <w:szCs w:val="22"/>
      <w:lang w:eastAsia="ar-SA"/>
    </w:rPr>
  </w:style>
  <w:style w:type="character" w:styleId="Hyperlink">
    <w:name w:val="Hyperlink"/>
    <w:basedOn w:val="DefaultParagraphFont"/>
    <w:uiPriority w:val="99"/>
    <w:unhideWhenUsed w:val="1"/>
    <w:rsid w:val="00CC1875"/>
    <w:rPr>
      <w:color w:val="0000ff" w:themeColor="hyperlink"/>
      <w:u w:val="single"/>
    </w:rPr>
  </w:style>
  <w:style w:type="character" w:styleId="UnresolvedMention">
    <w:name w:val="Unresolved Mention"/>
    <w:basedOn w:val="DefaultParagraphFont"/>
    <w:uiPriority w:val="99"/>
    <w:semiHidden w:val="1"/>
    <w:unhideWhenUsed w:val="1"/>
    <w:rsid w:val="00CC18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poleoncat.com/pl/regulamin/"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zIZ02JUMjRCAfXVsorMV014jw==">CgMxLjAyCGguZ2pkZ3hzMgloLjMwajB6bGwyCGgudHlqY3d0MgloLjFmb2I5dGUyCWguM3pueXNoNzIJaC4yZXQ5MnAwOAByITFLWkkyc3ZCWkN1cXQ3cmZGTjAxaHZJeUVlUi1MZXZENQ==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2023-08-02T09:32:00Z</dcterms:created>
  <dc:creator>Marcin Szkutnik</dc:creator>
</cp:coreProperties>
</file>